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942730" w:rsidRPr="00942730" w:rsidTr="00942730">
        <w:tc>
          <w:tcPr>
            <w:tcW w:w="3348" w:type="dxa"/>
            <w:shd w:val="clear" w:color="auto" w:fill="FFFFFF"/>
            <w:tcMar>
              <w:top w:w="0" w:type="dxa"/>
              <w:left w:w="108" w:type="dxa"/>
              <w:bottom w:w="0" w:type="dxa"/>
              <w:right w:w="108" w:type="dxa"/>
            </w:tcMar>
            <w:hideMark/>
          </w:tcPr>
          <w:p w:rsidR="00942730" w:rsidRPr="00942730" w:rsidRDefault="00942730" w:rsidP="00942730">
            <w:pPr>
              <w:spacing w:before="120" w:after="120" w:line="240" w:lineRule="auto"/>
              <w:jc w:val="center"/>
              <w:rPr>
                <w:rFonts w:ascii="Arial" w:eastAsia="Times New Roman" w:hAnsi="Arial" w:cs="Arial"/>
                <w:color w:val="333333"/>
                <w:sz w:val="21"/>
                <w:szCs w:val="21"/>
              </w:rPr>
            </w:pPr>
            <w:r w:rsidRPr="00942730">
              <w:rPr>
                <w:rFonts w:ascii="Arial" w:eastAsia="Times New Roman" w:hAnsi="Arial" w:cs="Arial"/>
                <w:b/>
                <w:bCs/>
                <w:color w:val="333333"/>
                <w:sz w:val="21"/>
                <w:szCs w:val="21"/>
              </w:rPr>
              <w:t>QUỐC HỘI</w:t>
            </w:r>
            <w:r w:rsidRPr="00942730">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942730" w:rsidRPr="00942730" w:rsidRDefault="00942730" w:rsidP="00942730">
            <w:pPr>
              <w:spacing w:before="120" w:after="120" w:line="240" w:lineRule="auto"/>
              <w:jc w:val="center"/>
              <w:rPr>
                <w:rFonts w:ascii="Arial" w:eastAsia="Times New Roman" w:hAnsi="Arial" w:cs="Arial"/>
                <w:color w:val="333333"/>
                <w:sz w:val="21"/>
                <w:szCs w:val="21"/>
              </w:rPr>
            </w:pPr>
            <w:r w:rsidRPr="00942730">
              <w:rPr>
                <w:rFonts w:ascii="Arial" w:eastAsia="Times New Roman" w:hAnsi="Arial" w:cs="Arial"/>
                <w:b/>
                <w:bCs/>
                <w:color w:val="333333"/>
                <w:sz w:val="21"/>
                <w:szCs w:val="21"/>
              </w:rPr>
              <w:t>CỘNG HÒA XÃ HỘI CHỦ NGHĨA VIỆT NAM</w:t>
            </w:r>
            <w:r w:rsidRPr="00942730">
              <w:rPr>
                <w:rFonts w:ascii="Arial" w:eastAsia="Times New Roman" w:hAnsi="Arial" w:cs="Arial"/>
                <w:b/>
                <w:bCs/>
                <w:color w:val="333333"/>
                <w:sz w:val="21"/>
                <w:szCs w:val="21"/>
              </w:rPr>
              <w:br/>
              <w:t>Độc lập - Tự do - Hạnh phúc </w:t>
            </w:r>
            <w:r w:rsidRPr="00942730">
              <w:rPr>
                <w:rFonts w:ascii="Arial" w:eastAsia="Times New Roman" w:hAnsi="Arial" w:cs="Arial"/>
                <w:b/>
                <w:bCs/>
                <w:color w:val="333333"/>
                <w:sz w:val="21"/>
                <w:szCs w:val="21"/>
              </w:rPr>
              <w:br/>
              <w:t>---------------</w:t>
            </w:r>
          </w:p>
        </w:tc>
      </w:tr>
      <w:tr w:rsidR="00942730" w:rsidRPr="00942730" w:rsidTr="00942730">
        <w:tc>
          <w:tcPr>
            <w:tcW w:w="3348" w:type="dxa"/>
            <w:shd w:val="clear" w:color="auto" w:fill="FFFFFF"/>
            <w:tcMar>
              <w:top w:w="0" w:type="dxa"/>
              <w:left w:w="108" w:type="dxa"/>
              <w:bottom w:w="0" w:type="dxa"/>
              <w:right w:w="108" w:type="dxa"/>
            </w:tcMar>
            <w:hideMark/>
          </w:tcPr>
          <w:p w:rsidR="00942730" w:rsidRPr="00942730" w:rsidRDefault="00942730" w:rsidP="00942730">
            <w:pPr>
              <w:spacing w:before="120" w:after="120" w:line="240" w:lineRule="auto"/>
              <w:jc w:val="center"/>
              <w:rPr>
                <w:rFonts w:ascii="Arial" w:eastAsia="Times New Roman" w:hAnsi="Arial" w:cs="Arial"/>
                <w:color w:val="333333"/>
                <w:sz w:val="21"/>
                <w:szCs w:val="21"/>
              </w:rPr>
            </w:pPr>
            <w:r w:rsidRPr="00942730">
              <w:rPr>
                <w:rFonts w:ascii="Arial" w:eastAsia="Times New Roman" w:hAnsi="Arial" w:cs="Arial"/>
                <w:color w:val="333333"/>
                <w:sz w:val="21"/>
                <w:szCs w:val="21"/>
              </w:rPr>
              <w:t>Luật số: 35/2013/QH13</w:t>
            </w:r>
          </w:p>
        </w:tc>
        <w:tc>
          <w:tcPr>
            <w:tcW w:w="5508" w:type="dxa"/>
            <w:shd w:val="clear" w:color="auto" w:fill="FFFFFF"/>
            <w:tcMar>
              <w:top w:w="0" w:type="dxa"/>
              <w:left w:w="108" w:type="dxa"/>
              <w:bottom w:w="0" w:type="dxa"/>
              <w:right w:w="108" w:type="dxa"/>
            </w:tcMar>
            <w:hideMark/>
          </w:tcPr>
          <w:p w:rsidR="00942730" w:rsidRPr="00942730" w:rsidRDefault="00942730" w:rsidP="00942730">
            <w:pPr>
              <w:spacing w:before="120" w:after="120" w:line="240" w:lineRule="auto"/>
              <w:jc w:val="right"/>
              <w:rPr>
                <w:rFonts w:ascii="Arial" w:eastAsia="Times New Roman" w:hAnsi="Arial" w:cs="Arial"/>
                <w:color w:val="333333"/>
                <w:sz w:val="21"/>
                <w:szCs w:val="21"/>
              </w:rPr>
            </w:pPr>
            <w:r w:rsidRPr="00942730">
              <w:rPr>
                <w:rFonts w:ascii="Arial" w:eastAsia="Times New Roman" w:hAnsi="Arial" w:cs="Arial"/>
                <w:i/>
                <w:iCs/>
                <w:color w:val="333333"/>
                <w:sz w:val="21"/>
                <w:szCs w:val="21"/>
              </w:rPr>
              <w:t>Hà Nội, ngày 20 tháng 6 năm 2013</w:t>
            </w:r>
          </w:p>
        </w:tc>
      </w:tr>
    </w:tbl>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 </w:t>
      </w:r>
    </w:p>
    <w:p w:rsidR="00942730" w:rsidRPr="00942730" w:rsidRDefault="00942730" w:rsidP="00942730">
      <w:pPr>
        <w:shd w:val="clear" w:color="auto" w:fill="FFFFFF"/>
        <w:spacing w:before="120" w:after="120" w:line="240" w:lineRule="auto"/>
        <w:ind w:right="-20"/>
        <w:jc w:val="center"/>
        <w:rPr>
          <w:rFonts w:ascii="Arial" w:eastAsia="Times New Roman" w:hAnsi="Arial" w:cs="Arial"/>
          <w:color w:val="333333"/>
          <w:sz w:val="21"/>
          <w:szCs w:val="21"/>
        </w:rPr>
      </w:pPr>
      <w:bookmarkStart w:id="0" w:name="loai_1"/>
      <w:r w:rsidRPr="00942730">
        <w:rPr>
          <w:rFonts w:ascii="Arial" w:eastAsia="Times New Roman" w:hAnsi="Arial" w:cs="Arial"/>
          <w:b/>
          <w:bCs/>
          <w:color w:val="000000"/>
          <w:sz w:val="24"/>
          <w:szCs w:val="24"/>
        </w:rPr>
        <w:t>LUẬT</w:t>
      </w:r>
      <w:bookmarkEnd w:id="0"/>
    </w:p>
    <w:p w:rsidR="00942730" w:rsidRPr="00942730" w:rsidRDefault="00942730" w:rsidP="00942730">
      <w:pPr>
        <w:shd w:val="clear" w:color="auto" w:fill="FFFFFF"/>
        <w:spacing w:before="120" w:after="120" w:line="240" w:lineRule="auto"/>
        <w:ind w:right="-20"/>
        <w:jc w:val="center"/>
        <w:rPr>
          <w:rFonts w:ascii="Arial" w:eastAsia="Times New Roman" w:hAnsi="Arial" w:cs="Arial"/>
          <w:color w:val="333333"/>
          <w:sz w:val="21"/>
          <w:szCs w:val="21"/>
        </w:rPr>
      </w:pPr>
      <w:bookmarkStart w:id="1" w:name="loai_1_name"/>
      <w:r w:rsidRPr="00942730">
        <w:rPr>
          <w:rFonts w:ascii="Arial" w:eastAsia="Times New Roman" w:hAnsi="Arial" w:cs="Arial"/>
          <w:color w:val="000000"/>
          <w:sz w:val="21"/>
          <w:szCs w:val="21"/>
        </w:rPr>
        <w:t>HÒA GIẢI Ở CƠ SỞ</w:t>
      </w:r>
      <w:bookmarkEnd w:id="1"/>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i/>
          <w:iCs/>
          <w:color w:val="333333"/>
          <w:sz w:val="21"/>
          <w:szCs w:val="21"/>
        </w:rPr>
        <w:t>Căn cứ Hiến pháp nước Cộng hòa xã hội chủ nghĩa Việt Nam năm 1992 đã được sửa đổi, bổ sung một số điều theo Nghị quyết số 51/2001/QH10;</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i/>
          <w:iCs/>
          <w:color w:val="333333"/>
          <w:sz w:val="21"/>
          <w:szCs w:val="21"/>
        </w:rPr>
        <w:t>Quốc hội ban hành Luật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 w:name="chuong_1"/>
      <w:r w:rsidRPr="00942730">
        <w:rPr>
          <w:rFonts w:ascii="Arial" w:eastAsia="Times New Roman" w:hAnsi="Arial" w:cs="Arial"/>
          <w:b/>
          <w:bCs/>
          <w:color w:val="000000"/>
          <w:sz w:val="21"/>
          <w:szCs w:val="21"/>
        </w:rPr>
        <w:t>Chương I</w:t>
      </w:r>
      <w:bookmarkEnd w:id="2"/>
    </w:p>
    <w:p w:rsidR="00942730" w:rsidRPr="00942730" w:rsidRDefault="00942730" w:rsidP="00942730">
      <w:pPr>
        <w:shd w:val="clear" w:color="auto" w:fill="FFFFFF"/>
        <w:spacing w:before="120" w:after="120" w:line="240" w:lineRule="auto"/>
        <w:ind w:right="-20"/>
        <w:jc w:val="center"/>
        <w:rPr>
          <w:rFonts w:ascii="Arial" w:eastAsia="Times New Roman" w:hAnsi="Arial" w:cs="Arial"/>
          <w:color w:val="333333"/>
          <w:sz w:val="21"/>
          <w:szCs w:val="21"/>
        </w:rPr>
      </w:pPr>
      <w:bookmarkStart w:id="3" w:name="chuong_1_name"/>
      <w:r w:rsidRPr="00942730">
        <w:rPr>
          <w:rFonts w:ascii="Arial" w:eastAsia="Times New Roman" w:hAnsi="Arial" w:cs="Arial"/>
          <w:b/>
          <w:bCs/>
          <w:color w:val="000000"/>
          <w:sz w:val="24"/>
          <w:szCs w:val="24"/>
        </w:rPr>
        <w:t>NHỮNG QUY ĐỊNH CHUNG</w:t>
      </w:r>
      <w:bookmarkEnd w:id="3"/>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 w:name="dieu_1"/>
      <w:r w:rsidRPr="00942730">
        <w:rPr>
          <w:rFonts w:ascii="Arial" w:eastAsia="Times New Roman" w:hAnsi="Arial" w:cs="Arial"/>
          <w:b/>
          <w:bCs/>
          <w:color w:val="000000"/>
          <w:sz w:val="21"/>
          <w:szCs w:val="21"/>
        </w:rPr>
        <w:t>Điều 1. Phạm vi điều chỉnh</w:t>
      </w:r>
      <w:bookmarkEnd w:id="4"/>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Luật này quy định nguyên tắc, chính sách của Nhà nước về hòa giải ở cơ sở, hòa giải viên, tổ hòa giải; hoạt động hòa giải ở cơ sở; trách nhiệm của cơ quan, tổ chức trong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Hoạt động hòa giải của tòa án, trọng tài, hòa giải thương mại, hòa giải lao động và hòa giải tại Ủy ban nhân dân xã, phường, thị trấn (sau đây gọi chung là cấp xã) không thuộc phạm vi điều chỉnh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 w:name="dieu_2"/>
      <w:r w:rsidRPr="00942730">
        <w:rPr>
          <w:rFonts w:ascii="Arial" w:eastAsia="Times New Roman" w:hAnsi="Arial" w:cs="Arial"/>
          <w:b/>
          <w:bCs/>
          <w:color w:val="000000"/>
          <w:sz w:val="21"/>
          <w:szCs w:val="21"/>
        </w:rPr>
        <w:t>Điều 2. Giải thích từ ngữ</w:t>
      </w:r>
      <w:bookmarkEnd w:id="5"/>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Trong Luật này, các từ ngữ dưới đây được hiểu như sau:</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w:t>
      </w:r>
      <w:r w:rsidRPr="00942730">
        <w:rPr>
          <w:rFonts w:ascii="Arial" w:eastAsia="Times New Roman" w:hAnsi="Arial" w:cs="Arial"/>
          <w:i/>
          <w:iCs/>
          <w:color w:val="333333"/>
          <w:sz w:val="21"/>
          <w:szCs w:val="21"/>
        </w:rPr>
        <w:t>Hòa giải ở cơ sở </w:t>
      </w:r>
      <w:r w:rsidRPr="00942730">
        <w:rPr>
          <w:rFonts w:ascii="Arial" w:eastAsia="Times New Roman" w:hAnsi="Arial" w:cs="Arial"/>
          <w:color w:val="333333"/>
          <w:sz w:val="21"/>
          <w:szCs w:val="21"/>
        </w:rPr>
        <w:t>là việc hòa giải viên hướng dẫn, giúp đỡ các bên đạt được thỏa thuận, tự nguyện giải quyết với nhau các mâu thuẫn, tranh chấp, vi phạm pháp luật theo quy định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w:t>
      </w:r>
      <w:r w:rsidRPr="00942730">
        <w:rPr>
          <w:rFonts w:ascii="Arial" w:eastAsia="Times New Roman" w:hAnsi="Arial" w:cs="Arial"/>
          <w:i/>
          <w:iCs/>
          <w:color w:val="333333"/>
          <w:sz w:val="21"/>
          <w:szCs w:val="21"/>
        </w:rPr>
        <w:t>Cơ sở </w:t>
      </w:r>
      <w:r w:rsidRPr="00942730">
        <w:rPr>
          <w:rFonts w:ascii="Arial" w:eastAsia="Times New Roman" w:hAnsi="Arial" w:cs="Arial"/>
          <w:color w:val="333333"/>
          <w:sz w:val="21"/>
          <w:szCs w:val="21"/>
        </w:rPr>
        <w:t>là thôn, làng, ấp, bản, buôn, phum, sóc, tổ dân phố, khu phố, khối phố và cộng đồng dân cư khác (sau đây gọi chung là thôn, tổ dân phố).</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w:t>
      </w:r>
      <w:r w:rsidRPr="00942730">
        <w:rPr>
          <w:rFonts w:ascii="Arial" w:eastAsia="Times New Roman" w:hAnsi="Arial" w:cs="Arial"/>
          <w:i/>
          <w:iCs/>
          <w:color w:val="333333"/>
          <w:sz w:val="21"/>
          <w:szCs w:val="21"/>
        </w:rPr>
        <w:t>Các bên </w:t>
      </w:r>
      <w:r w:rsidRPr="00942730">
        <w:rPr>
          <w:rFonts w:ascii="Arial" w:eastAsia="Times New Roman" w:hAnsi="Arial" w:cs="Arial"/>
          <w:color w:val="333333"/>
          <w:sz w:val="21"/>
          <w:szCs w:val="21"/>
        </w:rPr>
        <w:t>là cá nhân, nhóm cá nhân, gia đình, nhóm gia đình, tổ chức có mâu thuẫn, tranh chấp, vi phạm pháp luật theo quy định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4. </w:t>
      </w:r>
      <w:r w:rsidRPr="00942730">
        <w:rPr>
          <w:rFonts w:ascii="Arial" w:eastAsia="Times New Roman" w:hAnsi="Arial" w:cs="Arial"/>
          <w:i/>
          <w:iCs/>
          <w:color w:val="333333"/>
          <w:sz w:val="21"/>
          <w:szCs w:val="21"/>
        </w:rPr>
        <w:t>Hòa giải viên </w:t>
      </w:r>
      <w:r w:rsidRPr="00942730">
        <w:rPr>
          <w:rFonts w:ascii="Arial" w:eastAsia="Times New Roman" w:hAnsi="Arial" w:cs="Arial"/>
          <w:color w:val="333333"/>
          <w:sz w:val="21"/>
          <w:szCs w:val="21"/>
        </w:rPr>
        <w:t>là người được công nhận theo quy định của Luật này để thực hiện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5. </w:t>
      </w:r>
      <w:r w:rsidRPr="00942730">
        <w:rPr>
          <w:rFonts w:ascii="Arial" w:eastAsia="Times New Roman" w:hAnsi="Arial" w:cs="Arial"/>
          <w:i/>
          <w:iCs/>
          <w:color w:val="333333"/>
          <w:sz w:val="21"/>
          <w:szCs w:val="21"/>
        </w:rPr>
        <w:t>Tổ hòa giải </w:t>
      </w:r>
      <w:r w:rsidRPr="00942730">
        <w:rPr>
          <w:rFonts w:ascii="Arial" w:eastAsia="Times New Roman" w:hAnsi="Arial" w:cs="Arial"/>
          <w:color w:val="333333"/>
          <w:sz w:val="21"/>
          <w:szCs w:val="21"/>
        </w:rPr>
        <w:t>là tổ chức tự quản của nhân dân được thành lập ở cơ sở để hoạt động hòa giải theo quy định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6" w:name="dieu_3"/>
      <w:r w:rsidRPr="00942730">
        <w:rPr>
          <w:rFonts w:ascii="Arial" w:eastAsia="Times New Roman" w:hAnsi="Arial" w:cs="Arial"/>
          <w:b/>
          <w:bCs/>
          <w:color w:val="000000"/>
          <w:sz w:val="21"/>
          <w:szCs w:val="21"/>
          <w:shd w:val="clear" w:color="auto" w:fill="FFFF96"/>
        </w:rPr>
        <w:t>Điều 3. Phạm vi hòa giải ở cơ sở</w:t>
      </w:r>
      <w:bookmarkEnd w:id="6"/>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Việc hòa giải ở cơ sở được tiến hành đối với các mâu thuẫn, tranh chấp, vi phạm pháp luật, trừ các trường hợp sau đây: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a) Mâu thuẫn, tranh chấp xâm phạm lợi ích của Nhà nước, lợi ích công cộng;</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b) Vi phạm pháp luật về hôn nhân và gia đình, giao dịch dân sự mà theo quy định của pháp luật tố tụng dân sự không được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c) Vi phạm pháp luật mà theo quy định phải bị truy cứu trách nhiệm hình sự hoặc bị xử lý vi phạm hành chính;</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d) Mâu thuẫn, tranh chấp khác không được hòa giải ở cơ sở theo quy định pháp luật.</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Chính phủ quy định chi tiết Điều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7" w:name="dieu_4"/>
      <w:r w:rsidRPr="00942730">
        <w:rPr>
          <w:rFonts w:ascii="Arial" w:eastAsia="Times New Roman" w:hAnsi="Arial" w:cs="Arial"/>
          <w:b/>
          <w:bCs/>
          <w:color w:val="000000"/>
          <w:sz w:val="21"/>
          <w:szCs w:val="21"/>
        </w:rPr>
        <w:t>Điều 4. Nguyên tắc tổ chức, hoạt động hòa giải ở cơ sở</w:t>
      </w:r>
      <w:bookmarkEnd w:id="7"/>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Tôn trọng sự tự nguyện của các bên; không bắt buộc, áp đặt các bên trong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 xml:space="preserve">2. Bảo đảm phù hợp với chính sách, pháp luật của Nhà nước, đạo đức xã hội, phong tục, tập quán tốt đẹp của nhân dân; phát huy tinh thần đoàn kết, tương trợ, giúp đỡ lẫn nhau giữa các thành viên trong </w:t>
      </w:r>
      <w:r w:rsidRPr="00942730">
        <w:rPr>
          <w:rFonts w:ascii="Arial" w:eastAsia="Times New Roman" w:hAnsi="Arial" w:cs="Arial"/>
          <w:color w:val="333333"/>
          <w:sz w:val="21"/>
          <w:szCs w:val="21"/>
        </w:rPr>
        <w:lastRenderedPageBreak/>
        <w:t>gia đình, dòng họ và cộng đồng dân cư; quan tâm đến quyền, lợi ích hợp pháp của trẻ em, phụ nữ, người khuyết tật và người cao tuổi.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Khách quan, công bằng, kịp thời, có lý, có tình; giữ bí mật thông tin đời tư của các bên, trừ trường hợp quy định tại khoản 4 và khoản 5 Điều 10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4. Tôn trọng ý chí, quyền và lợi ích hợp pháp của các bên, quyền và lợi ích hợp pháp của người khác; không xâm phạm lợi ích của Nhà nước, lợi ích công cộng.</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5. Bảo đảm bình đẳng giới trong tổ chức và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6. Không lợi dụng hòa giải ở cơ sở để ngăn cản các bên liên quan bảo vệ quyền lợi của mình theo quy định của pháp luật hoặc trốn tránh việc xử lý vi phạm hành chính, xử lý về hình sự.</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8" w:name="dieu_5"/>
      <w:r w:rsidRPr="00942730">
        <w:rPr>
          <w:rFonts w:ascii="Arial" w:eastAsia="Times New Roman" w:hAnsi="Arial" w:cs="Arial"/>
          <w:b/>
          <w:bCs/>
          <w:color w:val="000000"/>
          <w:sz w:val="21"/>
          <w:szCs w:val="21"/>
        </w:rPr>
        <w:t>Điều 5. Chính sách của Nhà nước về hòa giải ở cơ sở</w:t>
      </w:r>
      <w:bookmarkEnd w:id="8"/>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9" w:name="cumtu_1"/>
      <w:r w:rsidRPr="00942730">
        <w:rPr>
          <w:rFonts w:ascii="Arial" w:eastAsia="Times New Roman" w:hAnsi="Arial" w:cs="Arial"/>
          <w:color w:val="000000"/>
          <w:sz w:val="21"/>
          <w:szCs w:val="21"/>
          <w:shd w:val="clear" w:color="auto" w:fill="FFFF96"/>
        </w:rPr>
        <w:t>1. Khuyến khích các bên giải quyết mâu thuẫn, tranh chấp bằng hình thức hòa giải ở cơ sở và các hình thức hòa giải thích hợp khác.</w:t>
      </w:r>
      <w:bookmarkEnd w:id="9"/>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Khuyến khích những người có uy tín trong gia đình, dòng họ, cộng đồng dân cư tham gia hòa giải ở cơ sở và tham gia các hình thức hòa giải thích hợp khác.</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Phát huy vai trò nòng cốt của Mặt trận Tổ quốc Việt Nam và các tổ chức thành viên của Mặt trận trong công tác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0" w:name="cumtu_2"/>
      <w:r w:rsidRPr="00942730">
        <w:rPr>
          <w:rFonts w:ascii="Arial" w:eastAsia="Times New Roman" w:hAnsi="Arial" w:cs="Arial"/>
          <w:color w:val="000000"/>
          <w:sz w:val="21"/>
          <w:szCs w:val="21"/>
          <w:shd w:val="clear" w:color="auto" w:fill="FFFF96"/>
        </w:rPr>
        <w:t>3. Tạo điều kiện, hỗ trợ cho hoạt động hòa giải ở cơ sở; khuyến khích tổ chức, cá nhân đóng góp, hỗ trợ cho hoạt động hòa giải ở cơ sở.</w:t>
      </w:r>
      <w:bookmarkEnd w:id="10"/>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1" w:name="dieu_6"/>
      <w:r w:rsidRPr="00942730">
        <w:rPr>
          <w:rFonts w:ascii="Arial" w:eastAsia="Times New Roman" w:hAnsi="Arial" w:cs="Arial"/>
          <w:b/>
          <w:bCs/>
          <w:color w:val="000000"/>
          <w:sz w:val="21"/>
          <w:szCs w:val="21"/>
          <w:shd w:val="clear" w:color="auto" w:fill="FFFF96"/>
        </w:rPr>
        <w:t>Điều 6. Hỗ trợ kinh phí cho công tác hòa giải ở cơ sở</w:t>
      </w:r>
      <w:bookmarkEnd w:id="11"/>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Nhà nước hỗ trợ kinh phí cho công tác hòa giải ở cơ sở để biên soạn, phát hành tài liệu; tổ chức bồi dưỡng, hướng dẫn nghiệp vụ, kỹ năng về hòa giải ở cơ sở; sơ kết, tổng kết, khen thưởng đối với công tác hòa giải ở cơ sở; chi thù lao cho hòa giải viên theo vụ, việc và hỗ trợ các chi phí cần thiết khác cho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Ngân sách trung ương chi bổ sung cho các địa phương chưa tự cân đối được ngân sách để hỗ trợ kinh phí cho công tác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Chính phủ quy định chi tiết Điều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2" w:name="chuong_2"/>
      <w:r w:rsidRPr="00942730">
        <w:rPr>
          <w:rFonts w:ascii="Arial" w:eastAsia="Times New Roman" w:hAnsi="Arial" w:cs="Arial"/>
          <w:b/>
          <w:bCs/>
          <w:color w:val="000000"/>
          <w:sz w:val="21"/>
          <w:szCs w:val="21"/>
        </w:rPr>
        <w:t>Chương II</w:t>
      </w:r>
      <w:bookmarkEnd w:id="12"/>
    </w:p>
    <w:p w:rsidR="00942730" w:rsidRPr="00942730" w:rsidRDefault="00942730" w:rsidP="00942730">
      <w:pPr>
        <w:shd w:val="clear" w:color="auto" w:fill="FFFFFF"/>
        <w:spacing w:before="120" w:after="120" w:line="240" w:lineRule="auto"/>
        <w:ind w:right="-20"/>
        <w:jc w:val="center"/>
        <w:rPr>
          <w:rFonts w:ascii="Arial" w:eastAsia="Times New Roman" w:hAnsi="Arial" w:cs="Arial"/>
          <w:color w:val="333333"/>
          <w:sz w:val="21"/>
          <w:szCs w:val="21"/>
        </w:rPr>
      </w:pPr>
      <w:bookmarkStart w:id="13" w:name="chuong_2_name"/>
      <w:r w:rsidRPr="00942730">
        <w:rPr>
          <w:rFonts w:ascii="Arial" w:eastAsia="Times New Roman" w:hAnsi="Arial" w:cs="Arial"/>
          <w:b/>
          <w:bCs/>
          <w:color w:val="000000"/>
          <w:sz w:val="24"/>
          <w:szCs w:val="24"/>
        </w:rPr>
        <w:t>HÒA GIẢI VIÊN, TỔ HÒA GIẢI</w:t>
      </w:r>
      <w:bookmarkEnd w:id="13"/>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4" w:name="muc_1"/>
      <w:r w:rsidRPr="00942730">
        <w:rPr>
          <w:rFonts w:ascii="Arial" w:eastAsia="Times New Roman" w:hAnsi="Arial" w:cs="Arial"/>
          <w:b/>
          <w:bCs/>
          <w:color w:val="000000"/>
          <w:sz w:val="21"/>
          <w:szCs w:val="21"/>
        </w:rPr>
        <w:t>Mục 1. HÒA GIẢI VIÊN</w:t>
      </w:r>
      <w:bookmarkEnd w:id="14"/>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5" w:name="dieu_7"/>
      <w:r w:rsidRPr="00942730">
        <w:rPr>
          <w:rFonts w:ascii="Arial" w:eastAsia="Times New Roman" w:hAnsi="Arial" w:cs="Arial"/>
          <w:b/>
          <w:bCs/>
          <w:color w:val="000000"/>
          <w:sz w:val="21"/>
          <w:szCs w:val="21"/>
        </w:rPr>
        <w:t>Điều 7. Tiêu chuẩn hòa giải viên</w:t>
      </w:r>
      <w:bookmarkEnd w:id="15"/>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Người được bầu làm hòa giải viên phải là công dân Việt Nam thường trú tại cơ sở, tự nguyện tham gia hoạt động hòa giải và có các tiêu chuẩn sau đây: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Có phẩm chất đạo đức tốt; có uy tín trong cộng đồng dân cư;</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Có khả năng thuyết phục, vận động nhân dân; có hiểu biết pháp luật.</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6" w:name="dieu_8"/>
      <w:r w:rsidRPr="00942730">
        <w:rPr>
          <w:rFonts w:ascii="Arial" w:eastAsia="Times New Roman" w:hAnsi="Arial" w:cs="Arial"/>
          <w:b/>
          <w:bCs/>
          <w:color w:val="000000"/>
          <w:sz w:val="21"/>
          <w:szCs w:val="21"/>
          <w:shd w:val="clear" w:color="auto" w:fill="FFFF96"/>
        </w:rPr>
        <w:t>Điều 8. Bầu, công nhận hòa giải viên</w:t>
      </w:r>
      <w:bookmarkEnd w:id="16"/>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Người có đủ tiêu chuẩn theo quy định tại Điều 7 của Luật này có quyền ứng cử hoặc được Ban công tác Mặt trận phối hợp với các tổ chức thành viên của Mặt trận giới thiệu vào danh sách bầu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7" w:name="khoan_2_8"/>
      <w:r w:rsidRPr="00942730">
        <w:rPr>
          <w:rFonts w:ascii="Arial" w:eastAsia="Times New Roman" w:hAnsi="Arial" w:cs="Arial"/>
          <w:color w:val="000000"/>
          <w:sz w:val="21"/>
          <w:szCs w:val="21"/>
        </w:rPr>
        <w:t>2. Trưởng ban công tác Mặt trận chủ trì, phối hợp với trưởng thôn, tổ trưởng tổ dân phố tổ chức bầu hòa giải viên ở thôn, tổ dân phố bằng một trong các hình thức sau đây</w:t>
      </w:r>
      <w:bookmarkEnd w:id="17"/>
      <w:r w:rsidRPr="00942730">
        <w:rPr>
          <w:rFonts w:ascii="Arial" w:eastAsia="Times New Roman" w:hAnsi="Arial" w:cs="Arial"/>
          <w:color w:val="333333"/>
          <w:sz w:val="21"/>
          <w:szCs w:val="21"/>
        </w:rPr>
        <w:t>:</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a) Biểu quyết công khai hoặc bỏ phiếu kín tại cuộc họp đại diện các hộ gia đình;</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b) Phát phiếu lấy ý kiến các hộ gia đình.</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Kết quả bầu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a) Người được đề nghị công nhận là hòa giải viên phải đạt trên 50% đại diện hộ gia đình trong thôn, tổ dân phố đồng ý;</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lastRenderedPageBreak/>
        <w:t>b) Trường hợp số người đạt trên 50% đại diện hộ gia đình trong thôn, tổ dân phố đồng ý nhiều hơn số lượng hòa giải viên được Chủ tịch Ủy ban nhân dân cấp xã quyết định theo quy định tại khoản 2 Điều 12 của Luật này thì danh sách người được đề nghị công nhận là hòa giải viên lấy theo kết quả bỏ phiếu từ cao xuống thấp;</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c) Trường hợp số người được bầu không đủ để thành lập tổ hòa giải thì tổ chức bầu bổ sung cho đủ số lượng;</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d) Trưởng ban công tác Mặt trận lập danh sách người được đề nghị công nhận là hòa giải viên gửi Chủ tịch Ủy ban nhân dân cấp xã.</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4. 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8" w:name="dieu_9"/>
      <w:r w:rsidRPr="00942730">
        <w:rPr>
          <w:rFonts w:ascii="Arial" w:eastAsia="Times New Roman" w:hAnsi="Arial" w:cs="Arial"/>
          <w:b/>
          <w:bCs/>
          <w:color w:val="000000"/>
          <w:sz w:val="21"/>
          <w:szCs w:val="21"/>
        </w:rPr>
        <w:t>Điều 9. Quyền của hòa giải viên</w:t>
      </w:r>
      <w:bookmarkEnd w:id="18"/>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Thực hiện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Đề nghị các bên có liên quan cung cấp tài liệu, thông tin liên quan đến vụ, việc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Tham gia sinh hoạt, thảo luận và quyết định nội dung, phương thức hoạt động của tổ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19" w:name="khoan_4_9"/>
      <w:r w:rsidRPr="00942730">
        <w:rPr>
          <w:rFonts w:ascii="Arial" w:eastAsia="Times New Roman" w:hAnsi="Arial" w:cs="Arial"/>
          <w:color w:val="000000"/>
          <w:sz w:val="21"/>
          <w:szCs w:val="21"/>
        </w:rPr>
        <w:t>4. Được bồi dưỡng kiến thức pháp luật, nghiệp vụ và kỹ năng hòa giải; được cung cấp tài liệu liên quan đến hoạt động hòa giải.</w:t>
      </w:r>
      <w:bookmarkEnd w:id="19"/>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5. Hưởng thù lao theo vụ, việc khi thực hiện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6. Được khen thưởng theo quy định của pháp luật về thi đua, khen thưởng.</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7. Được hỗ trợ, tạo điều kiện để khắc phục hậu quả nếu gặp tai nạn hoặc rủi ro ảnh hưởng đến sức khỏe, tính mạng trong khi thực hiện hoạt động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8. Kiến nghị, đề xuất về các vấn đề liên quan đến hoạt động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9. Chính phủ quy định chi tiết khoản 5 và khoản 7 Điều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0" w:name="dieu_10"/>
      <w:r w:rsidRPr="00942730">
        <w:rPr>
          <w:rFonts w:ascii="Arial" w:eastAsia="Times New Roman" w:hAnsi="Arial" w:cs="Arial"/>
          <w:b/>
          <w:bCs/>
          <w:color w:val="000000"/>
          <w:sz w:val="21"/>
          <w:szCs w:val="21"/>
        </w:rPr>
        <w:t>Điều 10. Nghĩa vụ của hòa giải viên</w:t>
      </w:r>
      <w:bookmarkEnd w:id="20"/>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Thực hiện hòa giải khi có căn cứ theo quy định tại Điều 16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Tuân thủ các nguyên tắc quy định tại Điều 4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Từ chối tiến hành hòa giải nếu bản thân có quyền lợi và nghĩa vụ liên quan đến vụ, việc hòa giải hoặc vì lý do khác dẫn đến không thể bảo đảm khách quan, công bằng trong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4.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5.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1" w:name="dieu_11"/>
      <w:r w:rsidRPr="00942730">
        <w:rPr>
          <w:rFonts w:ascii="Arial" w:eastAsia="Times New Roman" w:hAnsi="Arial" w:cs="Arial"/>
          <w:b/>
          <w:bCs/>
          <w:color w:val="000000"/>
          <w:sz w:val="21"/>
          <w:szCs w:val="21"/>
          <w:shd w:val="clear" w:color="auto" w:fill="FFFF96"/>
        </w:rPr>
        <w:t>Điều 11. Thôi làm hòa giải viên</w:t>
      </w:r>
      <w:bookmarkEnd w:id="21"/>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Việc thôi làm hòa giải viên được thực hiện trong các trường hợp sau đây: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a) Theo nguyện vọng của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b) Hòa giải viên không còn đáp ứng một trong các tiêu chuẩn quy định tại Điều 7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c) Vi phạm nguyên tắc tổ chức, hoạt động hòa giải ở cơ sở theo quy định tại Điều 4 của Luật này hoặc không có điều kiện tiếp tục làm hòa giải viên do bị xử lý vi phạm pháp luật.</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2" w:name="khoan_2_11"/>
      <w:r w:rsidRPr="00942730">
        <w:rPr>
          <w:rFonts w:ascii="Arial" w:eastAsia="Times New Roman" w:hAnsi="Arial" w:cs="Arial"/>
          <w:color w:val="000000"/>
          <w:sz w:val="21"/>
          <w:szCs w:val="21"/>
        </w:rPr>
        <w:t>2. Trường hợp thôi làm hòa giải viên quy định tại khoản 1 Điều này thì tổ trưởng tổ hòa giải đề nghị Trưởng ban công tác Mặt trận phối hợp với trưởng thôn, tổ trưởng tổ dân phố làm văn bản đề nghị Chủ tịch Ủy ban nhân dân cấp xã ra quyết định thôi làm hòa giải viên.</w:t>
      </w:r>
      <w:bookmarkEnd w:id="22"/>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lastRenderedPageBreak/>
        <w:t>3. Quyết định thôi làm hòa giải viên được gửi Ban thường trực Ủy ban Mặt trận Tổ quốc Việt Nam cấp xã, Trưởng ban công tác Mặt trận, trưởng thôn, tổ trưởng tổ dân phố, hòa giải viên và thông báo công khai ở thôn, tổ dân phố.</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3" w:name="muc_2"/>
      <w:r w:rsidRPr="00942730">
        <w:rPr>
          <w:rFonts w:ascii="Arial" w:eastAsia="Times New Roman" w:hAnsi="Arial" w:cs="Arial"/>
          <w:b/>
          <w:bCs/>
          <w:color w:val="000000"/>
          <w:sz w:val="21"/>
          <w:szCs w:val="21"/>
        </w:rPr>
        <w:t>Mục 2. TỔ HÒA GIẢI</w:t>
      </w:r>
      <w:bookmarkEnd w:id="23"/>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4" w:name="dieu_12"/>
      <w:r w:rsidRPr="00942730">
        <w:rPr>
          <w:rFonts w:ascii="Arial" w:eastAsia="Times New Roman" w:hAnsi="Arial" w:cs="Arial"/>
          <w:b/>
          <w:bCs/>
          <w:color w:val="000000"/>
          <w:sz w:val="21"/>
          <w:szCs w:val="21"/>
        </w:rPr>
        <w:t>Điều 12. Tổ hòa giải</w:t>
      </w:r>
      <w:bookmarkEnd w:id="24"/>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Tổ hòa giải có tổ trưởng và các hòa giải viên. Mỗi tổ hòa giải có từ 03 hòa giải viên trở lên, trong đó có hòa giải viên nữ. Đối với vùng có nhiều đồng bào dân tộc thiểu số, tổ hòa giải phải có hòa giải viên là người dân tộc thiểu số.</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Chủ tịch Ủy ban nhân dân cấp xã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5" w:name="khoan_3_12"/>
      <w:r w:rsidRPr="00942730">
        <w:rPr>
          <w:rFonts w:ascii="Arial" w:eastAsia="Times New Roman" w:hAnsi="Arial" w:cs="Arial"/>
          <w:color w:val="000000"/>
          <w:sz w:val="21"/>
          <w:szCs w:val="21"/>
          <w:shd w:val="clear" w:color="auto" w:fill="FFFF96"/>
        </w:rPr>
        <w:t>3. Hằng năm, Trưởng ban công tác Mặt trận 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bookmarkEnd w:id="25"/>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6" w:name="dieu_13"/>
      <w:r w:rsidRPr="00942730">
        <w:rPr>
          <w:rFonts w:ascii="Arial" w:eastAsia="Times New Roman" w:hAnsi="Arial" w:cs="Arial"/>
          <w:b/>
          <w:bCs/>
          <w:color w:val="000000"/>
          <w:sz w:val="21"/>
          <w:szCs w:val="21"/>
        </w:rPr>
        <w:t>Điều 13. Trách nhiệm của tổ hòa giải</w:t>
      </w:r>
      <w:bookmarkEnd w:id="26"/>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Tổ chức thực hiện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Tổ chức trao đổi kinh nghiệm, thảo luận các giải pháp để tiến hành hòa giải vụ, việc phức tạp.</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4. Kiến nghị với Ủy ban Mặt trận Tổ quốc Việt Nam cấp xã, Uỷ ban nhân dân cấp xã về hoạt động hòa giải ở cơ sở, các điều kiện cần thiết cho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5. Đề nghị khen thưởng tổ hòa giải, hòa giải viên có thành tích xuất sắc trong công tác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7" w:name="dieu_14"/>
      <w:r w:rsidRPr="00942730">
        <w:rPr>
          <w:rFonts w:ascii="Arial" w:eastAsia="Times New Roman" w:hAnsi="Arial" w:cs="Arial"/>
          <w:b/>
          <w:bCs/>
          <w:color w:val="000000"/>
          <w:sz w:val="21"/>
          <w:szCs w:val="21"/>
          <w:shd w:val="clear" w:color="auto" w:fill="FFFF96"/>
        </w:rPr>
        <w:t>Điều 14. Tổ trưởng tổ hòa giải</w:t>
      </w:r>
      <w:bookmarkEnd w:id="27"/>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Tổ trưởng tổ hòa giải do hòa giải viên bầu trong số các hòa giải viên để phụ trách tổ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8" w:name="khoan_2_14"/>
      <w:r w:rsidRPr="00942730">
        <w:rPr>
          <w:rFonts w:ascii="Arial" w:eastAsia="Times New Roman" w:hAnsi="Arial" w:cs="Arial"/>
          <w:color w:val="000000"/>
          <w:sz w:val="21"/>
          <w:szCs w:val="21"/>
        </w:rPr>
        <w:t>2. Việc bầu tổ trưởng tổ hòa giải được thực hiện dưới sự chủ trì của Trưởng ban công tác Mặt trận bằng hình thức biểu quyết công khai hoặc bỏ phiếu kín. Kết quả bầu tổ trưởng tổ hòa giải được lập thành văn bản và gửi chủ tịch Ủy ban nhân dân cấp xã để ra quyết định công nhận.</w:t>
      </w:r>
      <w:bookmarkEnd w:id="28"/>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29" w:name="dieu_15"/>
      <w:r w:rsidRPr="00942730">
        <w:rPr>
          <w:rFonts w:ascii="Arial" w:eastAsia="Times New Roman" w:hAnsi="Arial" w:cs="Arial"/>
          <w:b/>
          <w:bCs/>
          <w:color w:val="000000"/>
          <w:sz w:val="21"/>
          <w:szCs w:val="21"/>
        </w:rPr>
        <w:t>Điều 15. Quyền và nghĩa vụ của tổ trưởng tổ hòa giải</w:t>
      </w:r>
      <w:bookmarkEnd w:id="29"/>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Phân công, phối hợp hoạt động của các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Đại diện cho tổ hòa giải trong quan hệ với Trưởng ban công tác Mặt trận, trưởng thôn, tổ trưởng tổ dân phố và cơ quan, tổ chức, cá nhân khác trong thực hiện trách nhiệm của tổ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Đề nghị cho thôi làm hòa giải viên theo quy định tại khoản 2 Điều 11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4. Báo cáo kịp thời với Chủ tịch Ủy ban nhân dân cấp xã và cơ quan có thẩm quyền về các vụ, việc theo quy định tại khoản 4 và khoản 5 Điều 10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5. Báo cáo hằng năm và báo cáo đột xuất về tổ chức và hoạt động của tổ hòa giải với Ủy ban nhân dân, Ban thường trực Ủy ban Mặt trận Tổ quốc Việt Nam cấp xã.</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6. Phối hợp với tổ trưởng tổ hòa giải khác để trao đổi kinh nghiệm hoặc tiến hành hòa giải những vụ, việc liên quan đến các thôn, tổ dân phố khác nhau.</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7. Có các quyền, nghĩa vụ của hòa giải viên quy định tại Điều 9 và Điều 10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0" w:name="chuong_3"/>
      <w:r w:rsidRPr="00942730">
        <w:rPr>
          <w:rFonts w:ascii="Arial" w:eastAsia="Times New Roman" w:hAnsi="Arial" w:cs="Arial"/>
          <w:b/>
          <w:bCs/>
          <w:color w:val="000000"/>
          <w:sz w:val="21"/>
          <w:szCs w:val="21"/>
        </w:rPr>
        <w:t>Chương III</w:t>
      </w:r>
      <w:bookmarkEnd w:id="30"/>
    </w:p>
    <w:p w:rsidR="00942730" w:rsidRPr="00942730" w:rsidRDefault="00942730" w:rsidP="00942730">
      <w:pPr>
        <w:shd w:val="clear" w:color="auto" w:fill="FFFFFF"/>
        <w:spacing w:before="120" w:after="120" w:line="240" w:lineRule="auto"/>
        <w:ind w:right="-20"/>
        <w:jc w:val="center"/>
        <w:rPr>
          <w:rFonts w:ascii="Arial" w:eastAsia="Times New Roman" w:hAnsi="Arial" w:cs="Arial"/>
          <w:color w:val="333333"/>
          <w:sz w:val="21"/>
          <w:szCs w:val="21"/>
        </w:rPr>
      </w:pPr>
      <w:bookmarkStart w:id="31" w:name="chuong_3_name"/>
      <w:r w:rsidRPr="00942730">
        <w:rPr>
          <w:rFonts w:ascii="Arial" w:eastAsia="Times New Roman" w:hAnsi="Arial" w:cs="Arial"/>
          <w:b/>
          <w:bCs/>
          <w:color w:val="000000"/>
          <w:sz w:val="24"/>
          <w:szCs w:val="24"/>
        </w:rPr>
        <w:t>HOẠT ĐỘNG HÒA GIẢI Ở CƠ SỞ</w:t>
      </w:r>
      <w:bookmarkEnd w:id="31"/>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2" w:name="dieu_16"/>
      <w:r w:rsidRPr="00942730">
        <w:rPr>
          <w:rFonts w:ascii="Arial" w:eastAsia="Times New Roman" w:hAnsi="Arial" w:cs="Arial"/>
          <w:b/>
          <w:bCs/>
          <w:color w:val="000000"/>
          <w:sz w:val="21"/>
          <w:szCs w:val="21"/>
        </w:rPr>
        <w:t>Điều 16. Căn cứ tiến hành hòa giải</w:t>
      </w:r>
      <w:bookmarkEnd w:id="32"/>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Hòa giải ở cơ sở được tiến hành khi có một trong các căn cứ sau đây: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Một bên hoặc các bên yêu cầu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Hòa giải viên chứng kiến hoặc biết vụ, việc thuộc phạm vi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lastRenderedPageBreak/>
        <w:t>3. Theo phân công của tổ trưởng tổ hòa giải hoặc đề nghị của cơ quan, tổ chức, cá nhân có liên quan.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3" w:name="dieu_17"/>
      <w:r w:rsidRPr="00942730">
        <w:rPr>
          <w:rFonts w:ascii="Arial" w:eastAsia="Times New Roman" w:hAnsi="Arial" w:cs="Arial"/>
          <w:b/>
          <w:bCs/>
          <w:color w:val="000000"/>
          <w:sz w:val="21"/>
          <w:szCs w:val="21"/>
        </w:rPr>
        <w:t>Điều 17. Quyền và nghĩa vụ của các bên trong hòa giải</w:t>
      </w:r>
      <w:bookmarkEnd w:id="33"/>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Lựa chọn, đề xuất hòa giải viên, địa điểm, thời gian để tiến hành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Đồng ý hoặc từ chối hòa giải; yêu cầu tạm dừng hoặc chấm dứt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Yêu cầu việc hòa giải được tiến hành công khai hoặc không công khai.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4. Được bày tỏ ý chí và quyết định về nội dung giải quyết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5. Trình bày đúng sự thật các tình tiết của vụ, việc; cung cấp tài liệu, chứng cứ có liên quan.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6. Tôn trọng hòa giải viên, quyền của các bên có liên quan.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7. Không gây ảnh hưởng đến an ninh, trật tự tại địa điểm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4" w:name="dieu_18"/>
      <w:r w:rsidRPr="00942730">
        <w:rPr>
          <w:rFonts w:ascii="Arial" w:eastAsia="Times New Roman" w:hAnsi="Arial" w:cs="Arial"/>
          <w:b/>
          <w:bCs/>
          <w:color w:val="000000"/>
          <w:sz w:val="21"/>
          <w:szCs w:val="21"/>
        </w:rPr>
        <w:t>Điều 18. Phân công hòa giải viên</w:t>
      </w:r>
      <w:bookmarkEnd w:id="34"/>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Tổ trưởng tổ hòa giải phân công hòa giải viên tiến hành hòa giải trong trường hợp các bên không lựa chọn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Tổ trưởng tổ hòa giải không phân công hòa giải viên tiến hành hòa giải nếu có căn cứ cho rằng hòa giải viên có quyền, lợi ích, nghĩa vụ liên quan đến vụ, việc hòa giải hoặc có lý do khác dẫn đến không thể bảo đảm khách quan, công bằng trong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Trong quá trình hòa giải, nếu hòa giải viên vi phạm nguyên tắc hoạt động hòa giải hoặc nghĩa vụ khác của hòa giải viên thì tổ trưởng tổ hòa giải phân công hòa giải viên khác thực hiện việc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5" w:name="dieu_19"/>
      <w:r w:rsidRPr="00942730">
        <w:rPr>
          <w:rFonts w:ascii="Arial" w:eastAsia="Times New Roman" w:hAnsi="Arial" w:cs="Arial"/>
          <w:b/>
          <w:bCs/>
          <w:color w:val="000000"/>
          <w:sz w:val="21"/>
          <w:szCs w:val="21"/>
        </w:rPr>
        <w:t>Điều 19. Người được mời tham gia hòa giải</w:t>
      </w:r>
      <w:bookmarkEnd w:id="35"/>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Trong quá trình hòa giải, nếu thấy cần thiết, hòa giải viên và một trong các bên khi được sự đồng ý của bên kia có thể mời người có uy tín trong dòng họ, ở nơi sinh sống, nơi làm việc; người có trình độ pháp lý, có kiến thức xã hội; già làng , chức sắc tôn giáo, người biết rõ vụ, việc; đại diện của cơ quan, tổ chức hoặc người có uy tín khác tham gia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Người được mời tham gia hòa giải phải tuân thủ các nguyên tắc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Cơ quan, tổ chức có người được mời tham gia hòa giải có trách nhiệm tạo điều kiện để họ tham gia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6" w:name="dieu_20"/>
      <w:r w:rsidRPr="00942730">
        <w:rPr>
          <w:rFonts w:ascii="Arial" w:eastAsia="Times New Roman" w:hAnsi="Arial" w:cs="Arial"/>
          <w:b/>
          <w:bCs/>
          <w:color w:val="000000"/>
          <w:sz w:val="21"/>
          <w:szCs w:val="21"/>
        </w:rPr>
        <w:t>Điều 20. Địa điểm, thời gian hòa giải</w:t>
      </w:r>
      <w:bookmarkEnd w:id="36"/>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Địa điểm hòa giải là nơi xảy ra vụ, việc hoặc nơi do các bên hoặc hòa giải viên lựa chọn, bảo đảm thuận lợi cho các bên.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7" w:name="dieu_21"/>
      <w:r w:rsidRPr="00942730">
        <w:rPr>
          <w:rFonts w:ascii="Arial" w:eastAsia="Times New Roman" w:hAnsi="Arial" w:cs="Arial"/>
          <w:b/>
          <w:bCs/>
          <w:color w:val="000000"/>
          <w:sz w:val="21"/>
          <w:szCs w:val="21"/>
        </w:rPr>
        <w:t>Điều 21. Tiến hành hòa giải</w:t>
      </w:r>
      <w:bookmarkEnd w:id="37"/>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Hòa giải được tiến hành trực tiếp, bằng lời nói với sự có mặt của các bên. Trong trường hợp các bên có người khuyết tật thì có sự hỗ trợ phù hợp để có thể tham gia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Hòa giải được tiến hành công khai hoặc không công khai theo ý kiến thống nhất của các bên.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Tùy thuộc vào vụ, việc cụ thể, trên cơ sở quy định của pháp luật, đạo đức xã hội, phong tục, tập quán tốt đẹp của nhân dân, hòa giải viên áp dụng các biện pháp thích hợp nhằm giúp các bên hiểu rõ về quyền lợi, trách nhiệm của mỗi bên trong vụ, việc để các bên thỏa thuận việc giải quyết các mâu thuẫn, tranh chấp và tự nguyện thực hiện thỏa thuận đó.</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8" w:name="cumtu_3"/>
      <w:r w:rsidRPr="00942730">
        <w:rPr>
          <w:rFonts w:ascii="Arial" w:eastAsia="Times New Roman" w:hAnsi="Arial" w:cs="Arial"/>
          <w:color w:val="000000"/>
          <w:sz w:val="21"/>
          <w:szCs w:val="21"/>
        </w:rPr>
        <w:t>Trong trường hợp không đạt được thỏa thuận, hòa giải viên hướng dẫn các bên đề nghị cơ quan, tổ chức có thẩm quyền giải quyết theo quy định của pháp luật.</w:t>
      </w:r>
      <w:bookmarkEnd w:id="38"/>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39" w:name="cumtu_4"/>
      <w:r w:rsidRPr="00942730">
        <w:rPr>
          <w:rFonts w:ascii="Arial" w:eastAsia="Times New Roman" w:hAnsi="Arial" w:cs="Arial"/>
          <w:color w:val="000000"/>
          <w:sz w:val="21"/>
          <w:szCs w:val="21"/>
          <w:shd w:val="clear" w:color="auto" w:fill="FFFF96"/>
        </w:rPr>
        <w:t>4. Hòa giải viên có trách nhiệm ghi nội dung vụ, việc hòa giải vào Sổ theo dõi hoạt động hòa giải ở cơ sở.</w:t>
      </w:r>
      <w:bookmarkEnd w:id="39"/>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Trường hợp các bên đồng ý thì lập văn bản hòa giải thành theo quy định tại khoản 2 Điều 24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0" w:name="dieu_22"/>
      <w:r w:rsidRPr="00942730">
        <w:rPr>
          <w:rFonts w:ascii="Arial" w:eastAsia="Times New Roman" w:hAnsi="Arial" w:cs="Arial"/>
          <w:b/>
          <w:bCs/>
          <w:color w:val="000000"/>
          <w:sz w:val="21"/>
          <w:szCs w:val="21"/>
          <w:shd w:val="clear" w:color="auto" w:fill="FFFF96"/>
        </w:rPr>
        <w:t>Điều 22. Hòa giải giữa các bên ở thôn, tổ dân phố khác nhau</w:t>
      </w:r>
      <w:bookmarkEnd w:id="40"/>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lastRenderedPageBreak/>
        <w:t>Trường hợp các bên ở thôn, tổ dân phố khác nhau thì tổ hòa giải ở thôn, tổ dân phố đó phối hợp thực hiện việc hòa giải và thông báo với Trưởng ban công tác Mặt trận tại nơi đó cùng phối hợp thực hiện.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1" w:name="dieu_23"/>
      <w:r w:rsidRPr="00942730">
        <w:rPr>
          <w:rFonts w:ascii="Arial" w:eastAsia="Times New Roman" w:hAnsi="Arial" w:cs="Arial"/>
          <w:b/>
          <w:bCs/>
          <w:color w:val="000000"/>
          <w:sz w:val="21"/>
          <w:szCs w:val="21"/>
        </w:rPr>
        <w:t>Điều 23. Kết thúc hòa giải</w:t>
      </w:r>
      <w:bookmarkEnd w:id="41"/>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Các bên đạt được thỏa thuận.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Một bên hoặc các bên yêu cầu chấm dứt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Hòa giải viên quyết định kết thúc hòa giải khi các bên không thể đạt được thỏa thuận và việc tiếp tục hòa giải cũng không thể đạt được kết quả.</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2" w:name="dieu_24"/>
      <w:r w:rsidRPr="00942730">
        <w:rPr>
          <w:rFonts w:ascii="Arial" w:eastAsia="Times New Roman" w:hAnsi="Arial" w:cs="Arial"/>
          <w:b/>
          <w:bCs/>
          <w:color w:val="000000"/>
          <w:sz w:val="21"/>
          <w:szCs w:val="21"/>
        </w:rPr>
        <w:t>Điều 24. Hòa giải thành</w:t>
      </w:r>
      <w:bookmarkEnd w:id="42"/>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Hòa giải thành là trường hợp các bên đạt được thỏa thuận.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Các bên có thể thỏa thuận lập văn bản hòa giải thành gồm các nội dung chính sau đây: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a) Căn cứ tiến hành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b) Thông tin cơ bản về các bên;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c) Nội dung chủ yếu của vụ, việc;</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d) Diễn biến của quá trình hòa giải;</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đ) Thỏa thuận đạt được và giải pháp thực hiện;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e) Quyền và nghĩa vụ của các bên;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g) Phương thức, thời hạn thực hiện thỏa thuận;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h) Chữ ký hoặc điểm chỉ của các bên và của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3" w:name="dieu_25"/>
      <w:r w:rsidRPr="00942730">
        <w:rPr>
          <w:rFonts w:ascii="Arial" w:eastAsia="Times New Roman" w:hAnsi="Arial" w:cs="Arial"/>
          <w:b/>
          <w:bCs/>
          <w:color w:val="000000"/>
          <w:sz w:val="21"/>
          <w:szCs w:val="21"/>
        </w:rPr>
        <w:t>Điều 25. Thực hiện thỏa thuận hòa giải thành</w:t>
      </w:r>
      <w:bookmarkEnd w:id="43"/>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Các bên có trách nhiệm thực hiện thỏa thuận hòa giải thành.</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Trong quá trình thực hiện thỏa thuận hòa giải thành, nếu một bên vì sự kiện bất khả kháng không thể thực hiện được thì có trách nhiệm trao đổi, thỏa thuận với bên kia và thông báo cho hòa giải viên.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4" w:name="dieu_26"/>
      <w:r w:rsidRPr="00942730">
        <w:rPr>
          <w:rFonts w:ascii="Arial" w:eastAsia="Times New Roman" w:hAnsi="Arial" w:cs="Arial"/>
          <w:b/>
          <w:bCs/>
          <w:color w:val="000000"/>
          <w:sz w:val="21"/>
          <w:szCs w:val="21"/>
          <w:shd w:val="clear" w:color="auto" w:fill="FFFF96"/>
        </w:rPr>
        <w:t>Điều 26. Theo dõi, đôn đốc việc thực hiện thỏa thuận hòa giải thành</w:t>
      </w:r>
      <w:bookmarkEnd w:id="44"/>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Hòa giải viên có trách nhiệm 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đốc thực hiện.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5" w:name="dieu_27"/>
      <w:r w:rsidRPr="00942730">
        <w:rPr>
          <w:rFonts w:ascii="Arial" w:eastAsia="Times New Roman" w:hAnsi="Arial" w:cs="Arial"/>
          <w:b/>
          <w:bCs/>
          <w:color w:val="000000"/>
          <w:sz w:val="21"/>
          <w:szCs w:val="21"/>
          <w:shd w:val="clear" w:color="auto" w:fill="FFFF96"/>
        </w:rPr>
        <w:t>Điều 27. Hòa giải không thành</w:t>
      </w:r>
      <w:bookmarkEnd w:id="45"/>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Hòa giải không thành là trường hợp các bên không đạt được thỏa thuận.</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Trong trường hợp này, các bên có quyền yêu cầu tiếp tục hòa giải hoặc yêu cầu cơ quan, tổ chức có thẩm quyền giải quyết theo quy định của pháp luật.</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6" w:name="chuong_4"/>
      <w:r w:rsidRPr="00942730">
        <w:rPr>
          <w:rFonts w:ascii="Arial" w:eastAsia="Times New Roman" w:hAnsi="Arial" w:cs="Arial"/>
          <w:b/>
          <w:bCs/>
          <w:color w:val="000000"/>
          <w:sz w:val="21"/>
          <w:szCs w:val="21"/>
        </w:rPr>
        <w:t>Chương IV</w:t>
      </w:r>
      <w:bookmarkEnd w:id="46"/>
    </w:p>
    <w:p w:rsidR="00942730" w:rsidRPr="00942730" w:rsidRDefault="00942730" w:rsidP="00942730">
      <w:pPr>
        <w:shd w:val="clear" w:color="auto" w:fill="FFFFFF"/>
        <w:spacing w:before="120" w:after="120" w:line="240" w:lineRule="auto"/>
        <w:ind w:right="-20"/>
        <w:jc w:val="center"/>
        <w:rPr>
          <w:rFonts w:ascii="Arial" w:eastAsia="Times New Roman" w:hAnsi="Arial" w:cs="Arial"/>
          <w:color w:val="333333"/>
          <w:sz w:val="21"/>
          <w:szCs w:val="21"/>
        </w:rPr>
      </w:pPr>
      <w:bookmarkStart w:id="47" w:name="chuong_4_name"/>
      <w:r w:rsidRPr="00942730">
        <w:rPr>
          <w:rFonts w:ascii="Arial" w:eastAsia="Times New Roman" w:hAnsi="Arial" w:cs="Arial"/>
          <w:b/>
          <w:bCs/>
          <w:color w:val="000000"/>
          <w:sz w:val="24"/>
          <w:szCs w:val="24"/>
        </w:rPr>
        <w:t>TRÁCH NHIỆM CỦA CƠ QUAN, TỔ CHỨC TRONG HOẠT ĐỘNG HÒA GIẢI Ở CƠ SỞ</w:t>
      </w:r>
      <w:bookmarkEnd w:id="47"/>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8" w:name="dieu_28"/>
      <w:r w:rsidRPr="00942730">
        <w:rPr>
          <w:rFonts w:ascii="Arial" w:eastAsia="Times New Roman" w:hAnsi="Arial" w:cs="Arial"/>
          <w:b/>
          <w:bCs/>
          <w:color w:val="000000"/>
          <w:sz w:val="21"/>
          <w:szCs w:val="21"/>
        </w:rPr>
        <w:t>Điều 28. Trách nhiệm quản lý nhà nước về hòa giải ở cơ sở</w:t>
      </w:r>
      <w:bookmarkEnd w:id="48"/>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Chính phủ thống nhất quản lý nhà nước về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Bộ Tư pháp chịu trách nhiệm trước Chính phủ thực hiện quản lý nhà nước về hòa giải ở cơ sở, có trách nhiệm sau đây: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a) Xây dựng, trình cơ quan có thẩm quyền ban hành hoặc ban hành theo thẩm quyền văn bản quy phạm pháp luật về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b) Chủ trì, phối hợp với các bộ, cơ quan ngang bộ, cơ quan thuộc Chính phủ, Ủy ban Trung ương Mặt trận Tổ quốc Việt Nam chỉ đạo, hướng dẫn, tổ chức, kiểm tra thực hiện văn bản quy phạm pháp luật về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49" w:name="diem_2_28_3"/>
      <w:r w:rsidRPr="00942730">
        <w:rPr>
          <w:rFonts w:ascii="Arial" w:eastAsia="Times New Roman" w:hAnsi="Arial" w:cs="Arial"/>
          <w:color w:val="000000"/>
          <w:sz w:val="21"/>
          <w:szCs w:val="21"/>
          <w:shd w:val="clear" w:color="auto" w:fill="FFFF96"/>
        </w:rPr>
        <w:t>c) Biên soạn, phát hành tài liệu, tổ chức bồi dưỡng, hướng dẫn nghiệp vụ, kỹ năng thực hiện công tác quản lý nhà nước về hòa giải ở cơ sở cho cấp tỉnh;</w:t>
      </w:r>
      <w:bookmarkEnd w:id="49"/>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lastRenderedPageBreak/>
        <w:t>d) Quy định mẫu Sổ theo dõi hoạt động hòa giải ở cơ sở; mẫu, biểu thống kê về tổ chức, hoạt động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3. Các bộ, cơ quan ngang bộ trong phạm vi nhiệm vụ, quyền hạn của mình có trách nhiệm phối hợp với Bộ Tư pháp thực hiện quản lý nhà nước về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0" w:name="dieu_29"/>
      <w:r w:rsidRPr="00942730">
        <w:rPr>
          <w:rFonts w:ascii="Arial" w:eastAsia="Times New Roman" w:hAnsi="Arial" w:cs="Arial"/>
          <w:b/>
          <w:bCs/>
          <w:color w:val="000000"/>
          <w:sz w:val="21"/>
          <w:szCs w:val="21"/>
          <w:shd w:val="clear" w:color="auto" w:fill="FFFF96"/>
        </w:rPr>
        <w:t>Điều 29. Trách nhiệm của Ủy ban nhân dân các cấp</w:t>
      </w:r>
      <w:bookmarkEnd w:id="50"/>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Ủy ban nhân dân tỉnh, thành phố trực thuộc Trung ương, Ủy ban nhân dân huyện, quận, thị xã, thành phố thuộc tỉnh (sau đây gọi chung là cấp huyện) trong phạm vi nhiệm vụ, quyền hạn của mình có trách nhiệm thực hiện quản lý nhà nước về hòa giải ở cơ sở tại địa phương; trình dự toán kinh phí hỗ trợ cho công tác hòa giải ở cơ sở tại địa phương để Hội đồng nhân dân có thẩm quyền xem xét quyết định; tổ chức bồi dưỡng, hướng dẫn nghiệp vụ và kỹ năng hòa giải ở cơ sở cho hòa giải viên theo hướng dẫn của Bộ Tư pháp.</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Ủy ban nhân dân cấp xã có trách nhiệm:</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1" w:name="diem_a_2_29"/>
      <w:r w:rsidRPr="00942730">
        <w:rPr>
          <w:rFonts w:ascii="Arial" w:eastAsia="Times New Roman" w:hAnsi="Arial" w:cs="Arial"/>
          <w:color w:val="000000"/>
          <w:sz w:val="21"/>
          <w:szCs w:val="21"/>
          <w:shd w:val="clear" w:color="auto" w:fill="FFFF96"/>
        </w:rPr>
        <w:t>a) Chủ trì, phối hợp với Ủy ban Mặt trận Tổ quốc Việt Nam cùng cấp tổ chức thực hiện các văn bản pháp luật về hòa giải ở cơ sở; xây dựng dự toán kinh phí hỗ trợ cho hoạt động hòa giải; thành lập, kiện toàn tổ hòa giải và công nhận tổ trưởng tổ hòa giải, hòa giải viên tại địa phương;</w:t>
      </w:r>
      <w:bookmarkEnd w:id="51"/>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2" w:name="diem_b_2_29"/>
      <w:r w:rsidRPr="00942730">
        <w:rPr>
          <w:rFonts w:ascii="Arial" w:eastAsia="Times New Roman" w:hAnsi="Arial" w:cs="Arial"/>
          <w:color w:val="000000"/>
          <w:sz w:val="21"/>
          <w:szCs w:val="21"/>
          <w:shd w:val="clear" w:color="auto" w:fill="FFFF96"/>
        </w:rPr>
        <w:t>b) Chủ trì phối hợp với Ủy ban Mặt trận Tổ quốc Việt Nam cùng cấp tổ chức kiểm tra, sơ kết, tổng kết và khen thưởng về hòa giải ở cơ sở.</w:t>
      </w:r>
      <w:bookmarkEnd w:id="52"/>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c) Báo cáo Hội đồng nhân dân cùng cấp, Ủy ban nhân dân cấp huyện kết quả thực hiện pháp luật về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3" w:name="dieu_30"/>
      <w:r w:rsidRPr="00942730">
        <w:rPr>
          <w:rFonts w:ascii="Arial" w:eastAsia="Times New Roman" w:hAnsi="Arial" w:cs="Arial"/>
          <w:b/>
          <w:bCs/>
          <w:color w:val="000000"/>
          <w:sz w:val="21"/>
          <w:szCs w:val="21"/>
        </w:rPr>
        <w:t>Điều 30. Trách nhiệm của Ủy ban Mặt trận Tổ quốc Việt Nam các cấp và các tổ chức thành viên của Mặt trận</w:t>
      </w:r>
      <w:bookmarkEnd w:id="53"/>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4" w:name="khoan_1_30"/>
      <w:r w:rsidRPr="00942730">
        <w:rPr>
          <w:rFonts w:ascii="Arial" w:eastAsia="Times New Roman" w:hAnsi="Arial" w:cs="Arial"/>
          <w:color w:val="000000"/>
          <w:sz w:val="21"/>
          <w:szCs w:val="21"/>
          <w:shd w:val="clear" w:color="auto" w:fill="FFFF96"/>
        </w:rPr>
        <w:t>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tổng kết và khen thưởng về hòa giải ở cơ sở.</w:t>
      </w:r>
      <w:bookmarkEnd w:id="54"/>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Ủy ban Trung ương Mặt trận Tổ quốc Việt Nam hướng dẫn Ủy ban Mặt trận Tổ quốc Việt Nam các cấp tham gia tổ chức thực hiện pháp luật về hòa giải ở cơ sở.</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5" w:name="khoan_2_30"/>
      <w:r w:rsidRPr="00942730">
        <w:rPr>
          <w:rFonts w:ascii="Arial" w:eastAsia="Times New Roman" w:hAnsi="Arial" w:cs="Arial"/>
          <w:color w:val="000000"/>
          <w:sz w:val="21"/>
          <w:szCs w:val="21"/>
        </w:rPr>
        <w:t>2. Các tổ chức thành viên của Mặt trận trong phạm vi chức năng, nhiệm vụ của mình có trách nhiệm thực hiện hoạt động hòa giải ở cơ sở theo quy định của pháp luật.</w:t>
      </w:r>
      <w:bookmarkEnd w:id="55"/>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6" w:name="chuong_5"/>
      <w:r w:rsidRPr="00942730">
        <w:rPr>
          <w:rFonts w:ascii="Arial" w:eastAsia="Times New Roman" w:hAnsi="Arial" w:cs="Arial"/>
          <w:b/>
          <w:bCs/>
          <w:color w:val="000000"/>
          <w:sz w:val="21"/>
          <w:szCs w:val="21"/>
        </w:rPr>
        <w:t>Chương V</w:t>
      </w:r>
      <w:bookmarkEnd w:id="56"/>
    </w:p>
    <w:p w:rsidR="00942730" w:rsidRPr="00942730" w:rsidRDefault="00942730" w:rsidP="00942730">
      <w:pPr>
        <w:shd w:val="clear" w:color="auto" w:fill="FFFFFF"/>
        <w:spacing w:before="120" w:after="120" w:line="240" w:lineRule="auto"/>
        <w:ind w:right="-20"/>
        <w:jc w:val="center"/>
        <w:rPr>
          <w:rFonts w:ascii="Arial" w:eastAsia="Times New Roman" w:hAnsi="Arial" w:cs="Arial"/>
          <w:color w:val="333333"/>
          <w:sz w:val="21"/>
          <w:szCs w:val="21"/>
        </w:rPr>
      </w:pPr>
      <w:bookmarkStart w:id="57" w:name="chuong_5_name"/>
      <w:r w:rsidRPr="00942730">
        <w:rPr>
          <w:rFonts w:ascii="Arial" w:eastAsia="Times New Roman" w:hAnsi="Arial" w:cs="Arial"/>
          <w:b/>
          <w:bCs/>
          <w:color w:val="000000"/>
          <w:sz w:val="24"/>
          <w:szCs w:val="24"/>
        </w:rPr>
        <w:t>ĐIỀU KHOẢN THI HÀNH</w:t>
      </w:r>
      <w:bookmarkEnd w:id="57"/>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8" w:name="dieu_31"/>
      <w:r w:rsidRPr="00942730">
        <w:rPr>
          <w:rFonts w:ascii="Arial" w:eastAsia="Times New Roman" w:hAnsi="Arial" w:cs="Arial"/>
          <w:b/>
          <w:bCs/>
          <w:color w:val="000000"/>
          <w:sz w:val="21"/>
          <w:szCs w:val="21"/>
        </w:rPr>
        <w:t>Điều 31. Quy định chuyển tiếp</w:t>
      </w:r>
      <w:bookmarkEnd w:id="58"/>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Kể từ ngày Luật này có hiệu lực, các tổ hòa giải, tổ viên tổ hòa giải được thành lập, công nhận theo Pháp lệnh về tổ chức và hoạt động hòa giải ở cơ sở được tiếp tục hoạt động mà không phải làm thủ tục công nhận lại theo quy định của Luật này.</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59" w:name="dieu_32"/>
      <w:r w:rsidRPr="00942730">
        <w:rPr>
          <w:rFonts w:ascii="Arial" w:eastAsia="Times New Roman" w:hAnsi="Arial" w:cs="Arial"/>
          <w:b/>
          <w:bCs/>
          <w:color w:val="000000"/>
          <w:sz w:val="21"/>
          <w:szCs w:val="21"/>
        </w:rPr>
        <w:t>Điều 32. Hiệu lực thi hành</w:t>
      </w:r>
      <w:bookmarkEnd w:id="59"/>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1. Luật này có hiệu lực từ ngày 01 tháng 01 năm 2014.</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2. Pháp lệnh về tổ chức và hoạt động hòa giải ở cơ sở hết hiệu lực kể từ ngày Luật này có hiệu lực.</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bookmarkStart w:id="60" w:name="dieu_33"/>
      <w:r w:rsidRPr="00942730">
        <w:rPr>
          <w:rFonts w:ascii="Arial" w:eastAsia="Times New Roman" w:hAnsi="Arial" w:cs="Arial"/>
          <w:b/>
          <w:bCs/>
          <w:color w:val="000000"/>
          <w:sz w:val="21"/>
          <w:szCs w:val="21"/>
        </w:rPr>
        <w:t>Điều 33. Quy định chi tiết và hướng dẫn thi hành</w:t>
      </w:r>
      <w:bookmarkEnd w:id="60"/>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Chính phủ quy định chi tiết, hướng dẫn thi hành các điều, khoản được giao trong Luật.</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i/>
          <w:iCs/>
          <w:color w:val="333333"/>
          <w:sz w:val="21"/>
          <w:szCs w:val="21"/>
        </w:rPr>
        <w:t>Luật này đã được Quốc hội nước Cộng hòa xã hội chủ nghĩa Việt Nam khóa XIII, kỳ họp thứ 5 thông qua ngày 20 tháng 6 năm 2013.</w:t>
      </w:r>
    </w:p>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308"/>
        <w:gridCol w:w="4548"/>
      </w:tblGrid>
      <w:tr w:rsidR="00942730" w:rsidRPr="00942730" w:rsidTr="00942730">
        <w:tc>
          <w:tcPr>
            <w:tcW w:w="4308" w:type="dxa"/>
            <w:shd w:val="clear" w:color="auto" w:fill="FFFFFF"/>
            <w:tcMar>
              <w:top w:w="0" w:type="dxa"/>
              <w:left w:w="108" w:type="dxa"/>
              <w:bottom w:w="0" w:type="dxa"/>
              <w:right w:w="108" w:type="dxa"/>
            </w:tcMar>
            <w:hideMark/>
          </w:tcPr>
          <w:p w:rsidR="00942730" w:rsidRPr="00942730" w:rsidRDefault="00942730" w:rsidP="00942730">
            <w:pPr>
              <w:spacing w:before="120" w:after="120" w:line="240" w:lineRule="auto"/>
              <w:rPr>
                <w:rFonts w:ascii="Arial" w:eastAsia="Times New Roman" w:hAnsi="Arial" w:cs="Arial"/>
                <w:color w:val="333333"/>
                <w:sz w:val="21"/>
                <w:szCs w:val="21"/>
              </w:rPr>
            </w:pPr>
            <w:r w:rsidRPr="00942730">
              <w:rPr>
                <w:rFonts w:ascii="Arial" w:eastAsia="Times New Roman" w:hAnsi="Arial" w:cs="Arial"/>
                <w:b/>
                <w:bCs/>
                <w:color w:val="333333"/>
                <w:sz w:val="21"/>
                <w:szCs w:val="21"/>
              </w:rPr>
              <w:t> </w:t>
            </w:r>
          </w:p>
        </w:tc>
        <w:tc>
          <w:tcPr>
            <w:tcW w:w="4548" w:type="dxa"/>
            <w:shd w:val="clear" w:color="auto" w:fill="FFFFFF"/>
            <w:tcMar>
              <w:top w:w="0" w:type="dxa"/>
              <w:left w:w="108" w:type="dxa"/>
              <w:bottom w:w="0" w:type="dxa"/>
              <w:right w:w="108" w:type="dxa"/>
            </w:tcMar>
            <w:hideMark/>
          </w:tcPr>
          <w:p w:rsidR="00942730" w:rsidRPr="00942730" w:rsidRDefault="00942730" w:rsidP="00942730">
            <w:pPr>
              <w:spacing w:before="120" w:after="120" w:line="240" w:lineRule="auto"/>
              <w:jc w:val="center"/>
              <w:rPr>
                <w:rFonts w:ascii="Arial" w:eastAsia="Times New Roman" w:hAnsi="Arial" w:cs="Arial"/>
                <w:color w:val="333333"/>
                <w:sz w:val="21"/>
                <w:szCs w:val="21"/>
              </w:rPr>
            </w:pPr>
            <w:r w:rsidRPr="00942730">
              <w:rPr>
                <w:rFonts w:ascii="Arial" w:eastAsia="Times New Roman" w:hAnsi="Arial" w:cs="Arial"/>
                <w:b/>
                <w:bCs/>
                <w:color w:val="333333"/>
                <w:sz w:val="21"/>
                <w:szCs w:val="21"/>
              </w:rPr>
              <w:t>CHỦ TỊCH QUỐC HỘI</w:t>
            </w:r>
            <w:r w:rsidRPr="00942730">
              <w:rPr>
                <w:rFonts w:ascii="Arial" w:eastAsia="Times New Roman" w:hAnsi="Arial" w:cs="Arial"/>
                <w:color w:val="333333"/>
                <w:sz w:val="21"/>
                <w:szCs w:val="21"/>
              </w:rPr>
              <w:br/>
            </w:r>
            <w:r w:rsidRPr="00942730">
              <w:rPr>
                <w:rFonts w:ascii="Arial" w:eastAsia="Times New Roman" w:hAnsi="Arial" w:cs="Arial"/>
                <w:color w:val="333333"/>
                <w:sz w:val="21"/>
                <w:szCs w:val="21"/>
              </w:rPr>
              <w:br/>
            </w:r>
            <w:r w:rsidRPr="00942730">
              <w:rPr>
                <w:rFonts w:ascii="Arial" w:eastAsia="Times New Roman" w:hAnsi="Arial" w:cs="Arial"/>
                <w:color w:val="333333"/>
                <w:sz w:val="21"/>
                <w:szCs w:val="21"/>
              </w:rPr>
              <w:br/>
            </w:r>
            <w:r w:rsidRPr="00942730">
              <w:rPr>
                <w:rFonts w:ascii="Arial" w:eastAsia="Times New Roman" w:hAnsi="Arial" w:cs="Arial"/>
                <w:color w:val="333333"/>
                <w:sz w:val="21"/>
                <w:szCs w:val="21"/>
              </w:rPr>
              <w:br/>
            </w:r>
            <w:r w:rsidRPr="00942730">
              <w:rPr>
                <w:rFonts w:ascii="Arial" w:eastAsia="Times New Roman" w:hAnsi="Arial" w:cs="Arial"/>
                <w:color w:val="333333"/>
                <w:sz w:val="21"/>
                <w:szCs w:val="21"/>
              </w:rPr>
              <w:br/>
            </w:r>
            <w:r w:rsidRPr="00942730">
              <w:rPr>
                <w:rFonts w:ascii="Arial" w:eastAsia="Times New Roman" w:hAnsi="Arial" w:cs="Arial"/>
                <w:b/>
                <w:bCs/>
                <w:color w:val="333333"/>
                <w:sz w:val="21"/>
                <w:szCs w:val="21"/>
              </w:rPr>
              <w:lastRenderedPageBreak/>
              <w:t>Nguyễn Sinh Hùng</w:t>
            </w:r>
          </w:p>
        </w:tc>
      </w:tr>
    </w:tbl>
    <w:p w:rsidR="00942730" w:rsidRPr="00942730" w:rsidRDefault="00942730" w:rsidP="00942730">
      <w:pPr>
        <w:shd w:val="clear" w:color="auto" w:fill="FFFFFF"/>
        <w:spacing w:before="120" w:after="120" w:line="240" w:lineRule="auto"/>
        <w:ind w:right="-20"/>
        <w:rPr>
          <w:rFonts w:ascii="Arial" w:eastAsia="Times New Roman" w:hAnsi="Arial" w:cs="Arial"/>
          <w:color w:val="333333"/>
          <w:sz w:val="21"/>
          <w:szCs w:val="21"/>
        </w:rPr>
      </w:pPr>
      <w:r w:rsidRPr="00942730">
        <w:rPr>
          <w:rFonts w:ascii="Arial" w:eastAsia="Times New Roman" w:hAnsi="Arial" w:cs="Arial"/>
          <w:color w:val="333333"/>
          <w:sz w:val="21"/>
          <w:szCs w:val="21"/>
        </w:rPr>
        <w:lastRenderedPageBreak/>
        <w:t> </w:t>
      </w:r>
    </w:p>
    <w:p w:rsidR="004A6015" w:rsidRDefault="004A6015">
      <w:bookmarkStart w:id="61" w:name="_GoBack"/>
      <w:bookmarkEnd w:id="61"/>
    </w:p>
    <w:sectPr w:rsidR="004A6015" w:rsidSect="00541805">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30"/>
    <w:rsid w:val="004A6015"/>
    <w:rsid w:val="00541805"/>
    <w:rsid w:val="00942730"/>
    <w:rsid w:val="00A36155"/>
    <w:rsid w:val="00C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4">
    <w:name w:val="vn_4"/>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5">
    <w:name w:val="vn_5"/>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942730"/>
  </w:style>
  <w:style w:type="paragraph" w:customStyle="1" w:styleId="vn7">
    <w:name w:val="vn_7"/>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4">
    <w:name w:val="vn_4"/>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5">
    <w:name w:val="vn_5"/>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942730"/>
  </w:style>
  <w:style w:type="paragraph" w:customStyle="1" w:styleId="vn7">
    <w:name w:val="vn_7"/>
    <w:basedOn w:val="Normal"/>
    <w:rsid w:val="00942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75633">
      <w:bodyDiv w:val="1"/>
      <w:marLeft w:val="0"/>
      <w:marRight w:val="0"/>
      <w:marTop w:val="0"/>
      <w:marBottom w:val="0"/>
      <w:divBdr>
        <w:top w:val="none" w:sz="0" w:space="0" w:color="auto"/>
        <w:left w:val="none" w:sz="0" w:space="0" w:color="auto"/>
        <w:bottom w:val="none" w:sz="0" w:space="0" w:color="auto"/>
        <w:right w:val="none" w:sz="0" w:space="0" w:color="auto"/>
      </w:divBdr>
    </w:div>
    <w:div w:id="15991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0C55D-EA54-4C52-AE05-672679F8ACBF}"/>
</file>

<file path=customXml/itemProps2.xml><?xml version="1.0" encoding="utf-8"?>
<ds:datastoreItem xmlns:ds="http://schemas.openxmlformats.org/officeDocument/2006/customXml" ds:itemID="{401E8E8C-841C-45EB-ABEB-6E63600A273E}"/>
</file>

<file path=customXml/itemProps3.xml><?xml version="1.0" encoding="utf-8"?>
<ds:datastoreItem xmlns:ds="http://schemas.openxmlformats.org/officeDocument/2006/customXml" ds:itemID="{E45E80E9-B921-4BC0-89BE-717921CC5CC1}"/>
</file>

<file path=docProps/app.xml><?xml version="1.0" encoding="utf-8"?>
<Properties xmlns="http://schemas.openxmlformats.org/officeDocument/2006/extended-properties" xmlns:vt="http://schemas.openxmlformats.org/officeDocument/2006/docPropsVTypes">
  <Template>Normal.dotm</Template>
  <TotalTime>1</TotalTime>
  <Pages>8</Pages>
  <Words>3151</Words>
  <Characters>17967</Characters>
  <Application>Microsoft Office Word</Application>
  <DocSecurity>0</DocSecurity>
  <Lines>149</Lines>
  <Paragraphs>42</Paragraphs>
  <ScaleCrop>false</ScaleCrop>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2019-03-29T03:16:00Z</dcterms:created>
  <dcterms:modified xsi:type="dcterms:W3CDTF">2019-03-29T03:20:00Z</dcterms:modified>
</cp:coreProperties>
</file>